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E4" w:rsidRDefault="00B825C5">
      <w:pPr>
        <w:pBdr>
          <w:top w:val="nil"/>
          <w:left w:val="nil"/>
          <w:bottom w:val="nil"/>
          <w:right w:val="nil"/>
          <w:between w:val="nil"/>
        </w:pBdr>
        <w:jc w:val="right"/>
        <w:rPr>
          <w:rFonts w:ascii="Times New Roman" w:eastAsia="Times New Roman" w:hAnsi="Times New Roman" w:cs="Times New Roman"/>
          <w:color w:val="000000"/>
          <w:sz w:val="22"/>
          <w:szCs w:val="22"/>
        </w:rPr>
      </w:pPr>
      <w:bookmarkStart w:id="0" w:name="_GoBack"/>
      <w:bookmarkEnd w:id="0"/>
      <w:r>
        <w:rPr>
          <w:rFonts w:ascii="Times New Roman" w:eastAsia="Times New Roman" w:hAnsi="Times New Roman" w:cs="Times New Roman"/>
          <w:b/>
          <w:color w:val="000000"/>
          <w:sz w:val="22"/>
          <w:szCs w:val="22"/>
        </w:rPr>
        <w:t>Córdoba, 09 de Noviembre de 2020</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Considerando</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Que los ámbitos laborales no están exentos de las más diversas expresiones de violencia.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es obligación de las instituciones estatales construir espacios libres de toda violencia.</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Que la construcción de tales espacios libres de toda violencia no será posible sin la participación efectiva de las personas que allí trabajan.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la resolución Nº 05/07 del Ministerio de Trabajo, Empleo y Seguridad Social, define a la violencia laboral</w:t>
      </w:r>
      <w:r>
        <w:rPr>
          <w:rFonts w:ascii="Times New Roman" w:eastAsia="Times New Roman" w:hAnsi="Times New Roman" w:cs="Times New Roman"/>
          <w:color w:val="000000"/>
          <w:sz w:val="22"/>
          <w:szCs w:val="22"/>
        </w:rPr>
        <w:t xml:space="preserve"> como toda acción, omisión o comportamiento, destinado a provocar, directa o indirectamente, daño físico, psicológico o moral a un trabajador o trabajadora, sea como amenaza o acción consumada, incluyendo a la violencia de género, el acoso psicológico, mor</w:t>
      </w:r>
      <w:r>
        <w:rPr>
          <w:rFonts w:ascii="Times New Roman" w:eastAsia="Times New Roman" w:hAnsi="Times New Roman" w:cs="Times New Roman"/>
          <w:color w:val="000000"/>
          <w:sz w:val="22"/>
          <w:szCs w:val="22"/>
        </w:rPr>
        <w:t xml:space="preserve">al y sexual en el trabajo, que pueden provenir tanto de niveles jerárquicos superiores, del mismo rango, o inferiores.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Que la perspectiva de géneros debe ser ineludible al considerar el fenómeno de la violencia laboral en todas sus dimensiones.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Que la </w:t>
      </w:r>
      <w:r>
        <w:rPr>
          <w:rFonts w:ascii="Times New Roman" w:eastAsia="Times New Roman" w:hAnsi="Times New Roman" w:cs="Times New Roman"/>
          <w:color w:val="000000"/>
          <w:sz w:val="22"/>
          <w:szCs w:val="22"/>
        </w:rPr>
        <w:t xml:space="preserve">Constitución Nacional incorpora los parámetros de la Convención de Naciones Unidas sobre la eliminación de todas las formas de discriminación contra la mujer (CEDAW). Que la normativa nacional incluye, entre otras, la Ley de Identidad de Género N° 26.743, </w:t>
      </w:r>
      <w:r>
        <w:rPr>
          <w:rFonts w:ascii="Times New Roman" w:eastAsia="Times New Roman" w:hAnsi="Times New Roman" w:cs="Times New Roman"/>
          <w:color w:val="000000"/>
          <w:sz w:val="22"/>
          <w:szCs w:val="22"/>
        </w:rPr>
        <w:t>la cual fija el marco legal para garantizar instrumentos que permitan el reconocimiento y desarrollo de la identidad de género auto-percibida por cada persona, la Ley Nacional N° 26.485 de protección integral para prevenir, sancionar y erradicar la violenc</w:t>
      </w:r>
      <w:r>
        <w:rPr>
          <w:rFonts w:ascii="Times New Roman" w:eastAsia="Times New Roman" w:hAnsi="Times New Roman" w:cs="Times New Roman"/>
          <w:color w:val="000000"/>
          <w:sz w:val="22"/>
          <w:szCs w:val="22"/>
        </w:rPr>
        <w:t>ia y todas las formas de discriminación contra las mujeres en los ámbitos en que desarrollen sus relaciones interpersonales y la Ley Nacional Nº 27.499 (Ley Micaela) que establece la capacitación obligatoria en género y violencia de género para todas las p</w:t>
      </w:r>
      <w:r>
        <w:rPr>
          <w:rFonts w:ascii="Times New Roman" w:eastAsia="Times New Roman" w:hAnsi="Times New Roman" w:cs="Times New Roman"/>
          <w:color w:val="000000"/>
          <w:sz w:val="22"/>
          <w:szCs w:val="22"/>
        </w:rPr>
        <w:t>ersonas que se desempeñan en la función pública.</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el Convenio Colectivo de Trabajo General para la Administración Pública Nacional incorpora desde el año 2006 una Comisión de Igualdad de Oportunidades y Tratos, cuyo fin es la promoción de acciones tend</w:t>
      </w:r>
      <w:r>
        <w:rPr>
          <w:rFonts w:ascii="Times New Roman" w:eastAsia="Times New Roman" w:hAnsi="Times New Roman" w:cs="Times New Roman"/>
          <w:color w:val="000000"/>
          <w:sz w:val="22"/>
          <w:szCs w:val="22"/>
        </w:rPr>
        <w:t>ientes a la erradicación de la violencia laboral, de la no discriminación y la igualdad de oportunidades y trato.</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el CONICET ha aprobado el "Protocolo de actuación para la prevención, difusión y capacitación en situaciones de violencia en ambientes de</w:t>
      </w:r>
      <w:r>
        <w:rPr>
          <w:rFonts w:ascii="Times New Roman" w:eastAsia="Times New Roman" w:hAnsi="Times New Roman" w:cs="Times New Roman"/>
          <w:color w:val="000000"/>
          <w:sz w:val="22"/>
          <w:szCs w:val="22"/>
        </w:rPr>
        <w:t xml:space="preserve"> trabajo" por resolución 1457 de 2017, mientras que la Universidad Nacional de Córdoba ha dispuesto un “Plan de acciones y herramientas para prevenir, atender y sancionar las violencias de género” (Resolución HCS 1011/2015 y Resolución Rectoral 2574/2016).</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el Instituto Multidisciplinario de Biología Vegetal (IMBIV), como instituto de doble dependencia, debe contemplar las recomendaciones emitidas desde CONICET y la Universidad Nacional de Córdoba.</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 la creación de mesas y comisiones por la erradicación de la violencia de género y laboral en instituciones del CONICET y de la UNC cuenta con antecedentes en otros institutos de doble dependencia como el Centro de Investigaciones y Estudios sobre Cultu</w:t>
      </w:r>
      <w:r>
        <w:rPr>
          <w:rFonts w:ascii="Times New Roman" w:eastAsia="Times New Roman" w:hAnsi="Times New Roman" w:cs="Times New Roman"/>
          <w:color w:val="000000"/>
          <w:sz w:val="22"/>
          <w:szCs w:val="22"/>
        </w:rPr>
        <w:t xml:space="preserve">ra y Sociedad (CIECS, UNC - CONICET) y el Instituto de Investigación Médica Mercedes y Martín </w:t>
      </w:r>
      <w:proofErr w:type="spellStart"/>
      <w:r>
        <w:rPr>
          <w:rFonts w:ascii="Times New Roman" w:eastAsia="Times New Roman" w:hAnsi="Times New Roman" w:cs="Times New Roman"/>
          <w:color w:val="000000"/>
          <w:sz w:val="22"/>
          <w:szCs w:val="22"/>
        </w:rPr>
        <w:t>Ferreyra</w:t>
      </w:r>
      <w:proofErr w:type="spellEnd"/>
      <w:r>
        <w:rPr>
          <w:rFonts w:ascii="Times New Roman" w:eastAsia="Times New Roman" w:hAnsi="Times New Roman" w:cs="Times New Roman"/>
          <w:color w:val="000000"/>
          <w:sz w:val="22"/>
          <w:szCs w:val="22"/>
        </w:rPr>
        <w:t xml:space="preserve"> (INIMEC, UNC - CONICET). </w:t>
      </w:r>
    </w:p>
    <w:p w:rsidR="009F52E4" w:rsidRDefault="009F52E4">
      <w:pPr>
        <w:pBdr>
          <w:top w:val="nil"/>
          <w:left w:val="nil"/>
          <w:bottom w:val="nil"/>
          <w:right w:val="nil"/>
          <w:between w:val="nil"/>
        </w:pBdr>
        <w:spacing w:before="240" w:after="240"/>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Que por su raíz socio-cultural e histórica las violencias cotidianas se encuentran naturalizadas, por lo que erradicarlas </w:t>
      </w:r>
      <w:proofErr w:type="gramStart"/>
      <w:r>
        <w:rPr>
          <w:rFonts w:ascii="Times New Roman" w:eastAsia="Times New Roman" w:hAnsi="Times New Roman" w:cs="Times New Roman"/>
          <w:color w:val="000000"/>
          <w:sz w:val="22"/>
          <w:szCs w:val="22"/>
        </w:rPr>
        <w:t>impl</w:t>
      </w:r>
      <w:r>
        <w:rPr>
          <w:rFonts w:ascii="Times New Roman" w:eastAsia="Times New Roman" w:hAnsi="Times New Roman" w:cs="Times New Roman"/>
          <w:color w:val="000000"/>
          <w:sz w:val="22"/>
          <w:szCs w:val="22"/>
        </w:rPr>
        <w:t>ica  un</w:t>
      </w:r>
      <w:proofErr w:type="gramEnd"/>
      <w:r>
        <w:rPr>
          <w:rFonts w:ascii="Times New Roman" w:eastAsia="Times New Roman" w:hAnsi="Times New Roman" w:cs="Times New Roman"/>
          <w:color w:val="000000"/>
          <w:sz w:val="22"/>
          <w:szCs w:val="22"/>
        </w:rPr>
        <w:t xml:space="preserve"> proceso de cambio en toda la comunidad del IMBIV, cuyo  fin es el de garantizar espacios libres de toda violencia.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El Consejo Directivo del Instituto Multidisciplinario de Biología Vegetal (IMBIV) resuelve:</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Artículo 1. </w:t>
      </w:r>
      <w:r>
        <w:rPr>
          <w:rFonts w:ascii="Times New Roman" w:eastAsia="Times New Roman" w:hAnsi="Times New Roman" w:cs="Times New Roman"/>
          <w:color w:val="000000"/>
          <w:sz w:val="22"/>
          <w:szCs w:val="22"/>
        </w:rPr>
        <w:t xml:space="preserve"> Crear la Comisión de Viol</w:t>
      </w:r>
      <w:r>
        <w:rPr>
          <w:rFonts w:ascii="Times New Roman" w:eastAsia="Times New Roman" w:hAnsi="Times New Roman" w:cs="Times New Roman"/>
          <w:color w:val="000000"/>
          <w:sz w:val="22"/>
          <w:szCs w:val="22"/>
        </w:rPr>
        <w:t>encia Laboral y de Géneros de la Unidad Ejecutora, entendidas en su transversalidad con otros tipos de violencias (racial, económica, etc.), cuyo objetivo general será promover un ambiente laboral libre de todo tipo de violencias y discriminación.</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Artícul</w:t>
      </w:r>
      <w:r>
        <w:rPr>
          <w:rFonts w:ascii="Times New Roman" w:eastAsia="Times New Roman" w:hAnsi="Times New Roman" w:cs="Times New Roman"/>
          <w:b/>
          <w:color w:val="000000"/>
          <w:sz w:val="22"/>
          <w:szCs w:val="22"/>
        </w:rPr>
        <w:t>o 2.</w:t>
      </w:r>
      <w:r>
        <w:rPr>
          <w:rFonts w:ascii="Times New Roman" w:eastAsia="Times New Roman" w:hAnsi="Times New Roman" w:cs="Times New Roman"/>
          <w:color w:val="000000"/>
          <w:sz w:val="22"/>
          <w:szCs w:val="22"/>
        </w:rPr>
        <w:t xml:space="preserve"> Son objetivos específicos de </w:t>
      </w:r>
      <w:proofErr w:type="gramStart"/>
      <w:r>
        <w:rPr>
          <w:rFonts w:ascii="Times New Roman" w:eastAsia="Times New Roman" w:hAnsi="Times New Roman" w:cs="Times New Roman"/>
          <w:color w:val="000000"/>
          <w:sz w:val="22"/>
          <w:szCs w:val="22"/>
        </w:rPr>
        <w:t>la  Comisión</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de Violencia</w:t>
      </w:r>
      <w:r>
        <w:rPr>
          <w:rFonts w:ascii="Times New Roman" w:eastAsia="Times New Roman" w:hAnsi="Times New Roman" w:cs="Times New Roman"/>
          <w:color w:val="000000"/>
          <w:sz w:val="22"/>
          <w:szCs w:val="22"/>
        </w:rPr>
        <w:t xml:space="preserve"> Laboral y de Géneros:</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Garantizar la aplicación del “Protocolo de actuación para la prevención, difusión y capacitación en situaciones de violencia en ambientes de trabajo” (CONICET) y del “Plan de</w:t>
      </w:r>
      <w:r>
        <w:rPr>
          <w:rFonts w:ascii="Times New Roman" w:eastAsia="Times New Roman" w:hAnsi="Times New Roman" w:cs="Times New Roman"/>
          <w:color w:val="000000"/>
          <w:sz w:val="22"/>
          <w:szCs w:val="22"/>
        </w:rPr>
        <w:t xml:space="preserve"> Acciones y Herramientas para prevenir, atender y sancionar las violencias de género” (UNC).</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Asesorar a la Dirección y al Consejo Directivo del IMBIV en cuestiones relacionadas con violencias, desigualdades y discriminación por cuestiones laborales y sexo-genéricas, entendiéndolas como atravesadas por otros tipos de violencias que deberán ser reco</w:t>
      </w:r>
      <w:r>
        <w:rPr>
          <w:rFonts w:ascii="Times New Roman" w:eastAsia="Times New Roman" w:hAnsi="Times New Roman" w:cs="Times New Roman"/>
          <w:color w:val="000000"/>
          <w:sz w:val="22"/>
          <w:szCs w:val="22"/>
        </w:rPr>
        <w:t>nocidas debidamente.</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Contribuir a la </w:t>
      </w:r>
      <w:proofErr w:type="spellStart"/>
      <w:r>
        <w:rPr>
          <w:rFonts w:ascii="Times New Roman" w:eastAsia="Times New Roman" w:hAnsi="Times New Roman" w:cs="Times New Roman"/>
          <w:color w:val="000000"/>
          <w:sz w:val="22"/>
          <w:szCs w:val="22"/>
        </w:rPr>
        <w:t>visibilización</w:t>
      </w:r>
      <w:proofErr w:type="spellEnd"/>
      <w:r>
        <w:rPr>
          <w:rFonts w:ascii="Times New Roman" w:eastAsia="Times New Roman" w:hAnsi="Times New Roman" w:cs="Times New Roman"/>
          <w:color w:val="000000"/>
          <w:sz w:val="22"/>
          <w:szCs w:val="22"/>
        </w:rPr>
        <w:t xml:space="preserve"> de los distintos tipos de violencias hacia las disidencias sexuales, naturalizadas cotidianamente en la sociedad en su conjunto y reproducidas en ámbitos institucionales por ser parte de prácticas jerárqu</w:t>
      </w:r>
      <w:r>
        <w:rPr>
          <w:rFonts w:ascii="Times New Roman" w:eastAsia="Times New Roman" w:hAnsi="Times New Roman" w:cs="Times New Roman"/>
          <w:color w:val="000000"/>
          <w:sz w:val="22"/>
          <w:szCs w:val="22"/>
        </w:rPr>
        <w:t>icas instituidas histórico-socialmente.</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Crear y constituir las redes de contención, cuidado y acompañamiento colectivo necesarias para poder superar las distintas situaciones de violencia enunciadas por las personas que se acerquen a la comisión.</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Promover </w:t>
      </w:r>
      <w:r>
        <w:rPr>
          <w:rFonts w:ascii="Times New Roman" w:eastAsia="Times New Roman" w:hAnsi="Times New Roman" w:cs="Times New Roman"/>
          <w:color w:val="000000"/>
          <w:sz w:val="22"/>
          <w:szCs w:val="22"/>
        </w:rPr>
        <w:t xml:space="preserve">actividades de formación, discusión y </w:t>
      </w:r>
      <w:proofErr w:type="spellStart"/>
      <w:r>
        <w:rPr>
          <w:rFonts w:ascii="Times New Roman" w:eastAsia="Times New Roman" w:hAnsi="Times New Roman" w:cs="Times New Roman"/>
          <w:color w:val="000000"/>
          <w:sz w:val="22"/>
          <w:szCs w:val="22"/>
        </w:rPr>
        <w:t>co</w:t>
      </w:r>
      <w:proofErr w:type="spellEnd"/>
      <w:r>
        <w:rPr>
          <w:rFonts w:ascii="Times New Roman" w:eastAsia="Times New Roman" w:hAnsi="Times New Roman" w:cs="Times New Roman"/>
          <w:color w:val="000000"/>
          <w:sz w:val="22"/>
          <w:szCs w:val="22"/>
        </w:rPr>
        <w:t>-construcción de espacios libres de violencias, con base en la participación de todas las personas que trabajan en el IMBIV.</w:t>
      </w:r>
    </w:p>
    <w:p w:rsidR="009F52E4" w:rsidRDefault="00B825C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Receptar, canalizar, </w:t>
      </w:r>
      <w:proofErr w:type="gramStart"/>
      <w:r>
        <w:rPr>
          <w:rFonts w:ascii="Times New Roman" w:eastAsia="Times New Roman" w:hAnsi="Times New Roman" w:cs="Times New Roman"/>
          <w:color w:val="000000"/>
          <w:sz w:val="22"/>
          <w:szCs w:val="22"/>
        </w:rPr>
        <w:t>mediar  y</w:t>
      </w:r>
      <w:proofErr w:type="gramEnd"/>
      <w:r>
        <w:rPr>
          <w:rFonts w:ascii="Times New Roman" w:eastAsia="Times New Roman" w:hAnsi="Times New Roman" w:cs="Times New Roman"/>
          <w:color w:val="000000"/>
          <w:sz w:val="22"/>
          <w:szCs w:val="22"/>
        </w:rPr>
        <w:t xml:space="preserve"> acompañar denuncias (formales y no) y consultas vinculadas a</w:t>
      </w:r>
      <w:r>
        <w:rPr>
          <w:rFonts w:ascii="Times New Roman" w:eastAsia="Times New Roman" w:hAnsi="Times New Roman" w:cs="Times New Roman"/>
          <w:color w:val="000000"/>
          <w:sz w:val="22"/>
          <w:szCs w:val="22"/>
        </w:rPr>
        <w:t xml:space="preserve"> violencia de género y violencia laboral.</w:t>
      </w:r>
    </w:p>
    <w:p w:rsidR="009F52E4" w:rsidRDefault="009F52E4">
      <w:pPr>
        <w:pBdr>
          <w:top w:val="nil"/>
          <w:left w:val="nil"/>
          <w:bottom w:val="nil"/>
          <w:right w:val="nil"/>
          <w:between w:val="nil"/>
        </w:pBdr>
        <w:ind w:left="1429"/>
        <w:rPr>
          <w:rFonts w:ascii="Times New Roman" w:eastAsia="Times New Roman" w:hAnsi="Times New Roman" w:cs="Times New Roman"/>
          <w:color w:val="000000"/>
          <w:sz w:val="22"/>
          <w:szCs w:val="22"/>
        </w:rPr>
      </w:pP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Artículo 3. </w:t>
      </w:r>
      <w:r>
        <w:rPr>
          <w:rFonts w:ascii="Times New Roman" w:eastAsia="Times New Roman" w:hAnsi="Times New Roman" w:cs="Times New Roman"/>
          <w:color w:val="000000"/>
          <w:sz w:val="22"/>
          <w:szCs w:val="22"/>
        </w:rPr>
        <w:t xml:space="preserve">La Comisión de Violencia Laboral y de </w:t>
      </w:r>
      <w:r>
        <w:rPr>
          <w:rFonts w:ascii="Times New Roman" w:eastAsia="Times New Roman" w:hAnsi="Times New Roman" w:cs="Times New Roman"/>
          <w:sz w:val="22"/>
          <w:szCs w:val="22"/>
        </w:rPr>
        <w:t>Género</w:t>
      </w:r>
      <w:r>
        <w:rPr>
          <w:rFonts w:ascii="Times New Roman" w:eastAsia="Times New Roman" w:hAnsi="Times New Roman" w:cs="Times New Roman"/>
          <w:color w:val="000000"/>
          <w:sz w:val="22"/>
          <w:szCs w:val="22"/>
        </w:rPr>
        <w:t xml:space="preserve"> será una comisión autónoma y estará integrada por un mínimo de tres y un máximo de siete personas, buscando una representación igualitaria de todos los est</w:t>
      </w:r>
      <w:r>
        <w:rPr>
          <w:rFonts w:ascii="Times New Roman" w:eastAsia="Times New Roman" w:hAnsi="Times New Roman" w:cs="Times New Roman"/>
          <w:color w:val="000000"/>
          <w:sz w:val="22"/>
          <w:szCs w:val="22"/>
        </w:rPr>
        <w:t xml:space="preserve">amentos del IMBIV.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B825C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Artículo 4.</w:t>
      </w:r>
      <w:r>
        <w:rPr>
          <w:rFonts w:ascii="Times New Roman" w:eastAsia="Times New Roman" w:hAnsi="Times New Roman" w:cs="Times New Roman"/>
          <w:color w:val="000000"/>
          <w:sz w:val="22"/>
          <w:szCs w:val="22"/>
        </w:rPr>
        <w:t xml:space="preserve"> La comisión establecerá su propio funcionamiento, en tanto asegure la protección y confidencialidad de las personas que se dirijan a ella. </w:t>
      </w: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p w:rsidR="009F52E4" w:rsidRDefault="009F52E4">
      <w:pPr>
        <w:pBdr>
          <w:top w:val="nil"/>
          <w:left w:val="nil"/>
          <w:bottom w:val="nil"/>
          <w:right w:val="nil"/>
          <w:between w:val="nil"/>
        </w:pBdr>
        <w:rPr>
          <w:rFonts w:ascii="Times New Roman" w:eastAsia="Times New Roman" w:hAnsi="Times New Roman" w:cs="Times New Roman"/>
          <w:color w:val="000000"/>
          <w:sz w:val="22"/>
          <w:szCs w:val="22"/>
        </w:rPr>
      </w:pPr>
    </w:p>
    <w:sectPr w:rsidR="009F52E4">
      <w:headerReference w:type="default" r:id="rId8"/>
      <w:footerReference w:type="default" r:id="rId9"/>
      <w:pgSz w:w="12240" w:h="15840"/>
      <w:pgMar w:top="2245" w:right="1134" w:bottom="2153" w:left="1134"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C5" w:rsidRDefault="00B825C5">
      <w:r>
        <w:separator/>
      </w:r>
    </w:p>
  </w:endnote>
  <w:endnote w:type="continuationSeparator" w:id="0">
    <w:p w:rsidR="00B825C5" w:rsidRDefault="00B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auto"/>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4" w:rsidRDefault="00B825C5">
    <w:pPr>
      <w:pBdr>
        <w:top w:val="nil"/>
        <w:left w:val="nil"/>
        <w:bottom w:val="nil"/>
        <w:right w:val="nil"/>
        <w:between w:val="nil"/>
      </w:pBdr>
      <w:tabs>
        <w:tab w:val="center" w:pos="4986"/>
        <w:tab w:val="right" w:pos="9972"/>
      </w:tabs>
      <w:jc w:val="center"/>
      <w:rPr>
        <w:color w:val="000000"/>
      </w:rPr>
    </w:pPr>
    <w:r>
      <w:rPr>
        <w:color w:val="000000"/>
        <w:sz w:val="16"/>
        <w:szCs w:val="16"/>
      </w:rPr>
      <w:t>Instituto Multidisciplinario de Biología Vegetal</w:t>
    </w:r>
  </w:p>
  <w:p w:rsidR="009F52E4" w:rsidRDefault="00B825C5">
    <w:pPr>
      <w:pBdr>
        <w:top w:val="nil"/>
        <w:left w:val="nil"/>
        <w:bottom w:val="nil"/>
        <w:right w:val="nil"/>
        <w:between w:val="nil"/>
      </w:pBdr>
      <w:tabs>
        <w:tab w:val="center" w:pos="4986"/>
        <w:tab w:val="right" w:pos="9972"/>
      </w:tabs>
      <w:jc w:val="center"/>
      <w:rPr>
        <w:color w:val="000000"/>
      </w:rPr>
    </w:pPr>
    <w:r>
      <w:rPr>
        <w:color w:val="000000"/>
        <w:sz w:val="16"/>
        <w:szCs w:val="16"/>
      </w:rPr>
      <w:t xml:space="preserve">Av. Vélez </w:t>
    </w:r>
    <w:proofErr w:type="spellStart"/>
    <w:r>
      <w:rPr>
        <w:color w:val="000000"/>
        <w:sz w:val="16"/>
        <w:szCs w:val="16"/>
      </w:rPr>
      <w:t>Sársfield</w:t>
    </w:r>
    <w:proofErr w:type="spellEnd"/>
    <w:r>
      <w:rPr>
        <w:color w:val="000000"/>
        <w:sz w:val="16"/>
        <w:szCs w:val="16"/>
      </w:rPr>
      <w:t xml:space="preserve"> 1611(X5016GCA). Edificio de Investigaciones Biológicas y Tecnológicas. Ciudad Universitaria. Córdoba, Argentina. Dirección postal: Casilla de Correo 495. (X5000ZAA) Córdoba, Argentina.</w:t>
    </w:r>
  </w:p>
  <w:p w:rsidR="009F52E4" w:rsidRDefault="00B825C5">
    <w:pPr>
      <w:pBdr>
        <w:top w:val="nil"/>
        <w:left w:val="nil"/>
        <w:bottom w:val="nil"/>
        <w:right w:val="nil"/>
        <w:between w:val="nil"/>
      </w:pBdr>
      <w:tabs>
        <w:tab w:val="center" w:pos="4986"/>
        <w:tab w:val="right" w:pos="9972"/>
      </w:tabs>
      <w:jc w:val="center"/>
      <w:rPr>
        <w:color w:val="000000"/>
      </w:rPr>
    </w:pPr>
    <w:r>
      <w:rPr>
        <w:color w:val="000000"/>
        <w:sz w:val="16"/>
        <w:szCs w:val="16"/>
      </w:rPr>
      <w:t>Te</w:t>
    </w:r>
    <w:r>
      <w:rPr>
        <w:color w:val="000000"/>
        <w:sz w:val="16"/>
        <w:szCs w:val="16"/>
      </w:rPr>
      <w:t>lefax: (54) 351-5353800/30007 / secretaria@imbiv.unc.edu.ar /direccion.imbiv@gmail.com Web: http://imbiv.unc.edu.ar/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C5" w:rsidRDefault="00B825C5">
      <w:r>
        <w:separator/>
      </w:r>
    </w:p>
  </w:footnote>
  <w:footnote w:type="continuationSeparator" w:id="0">
    <w:p w:rsidR="00B825C5" w:rsidRDefault="00B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4" w:rsidRDefault="00B825C5">
    <w:pPr>
      <w:pBdr>
        <w:top w:val="nil"/>
        <w:left w:val="nil"/>
        <w:bottom w:val="nil"/>
        <w:right w:val="nil"/>
        <w:between w:val="nil"/>
      </w:pBdr>
      <w:tabs>
        <w:tab w:val="center" w:pos="4986"/>
        <w:tab w:val="right" w:pos="9972"/>
      </w:tabs>
      <w:rPr>
        <w:color w:val="000000"/>
      </w:rPr>
    </w:pPr>
    <w:r>
      <w:rPr>
        <w:noProof/>
        <w:lang w:val="es-AR"/>
      </w:rPr>
      <w:drawing>
        <wp:anchor distT="0" distB="0" distL="0" distR="0" simplePos="0" relativeHeight="251658240" behindDoc="0" locked="0" layoutInCell="1" hidden="0" allowOverlap="1">
          <wp:simplePos x="0" y="0"/>
          <wp:positionH relativeFrom="column">
            <wp:posOffset>2110105</wp:posOffset>
          </wp:positionH>
          <wp:positionV relativeFrom="paragraph">
            <wp:posOffset>635</wp:posOffset>
          </wp:positionV>
          <wp:extent cx="2112010" cy="67627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2010" cy="676275"/>
                  </a:xfrm>
                  <a:prstGeom prst="rect">
                    <a:avLst/>
                  </a:prstGeom>
                  <a:ln/>
                </pic:spPr>
              </pic:pic>
            </a:graphicData>
          </a:graphic>
        </wp:anchor>
      </w:drawing>
    </w:r>
  </w:p>
  <w:p w:rsidR="009F52E4" w:rsidRDefault="009F52E4">
    <w:pPr>
      <w:pBdr>
        <w:top w:val="nil"/>
        <w:left w:val="nil"/>
        <w:bottom w:val="nil"/>
        <w:right w:val="nil"/>
        <w:between w:val="nil"/>
      </w:pBdr>
      <w:tabs>
        <w:tab w:val="center" w:pos="4986"/>
        <w:tab w:val="right" w:pos="9972"/>
      </w:tabs>
      <w:rPr>
        <w:color w:val="000000"/>
      </w:rPr>
    </w:pPr>
  </w:p>
  <w:p w:rsidR="009F52E4" w:rsidRDefault="009F52E4">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22B43"/>
    <w:multiLevelType w:val="multilevel"/>
    <w:tmpl w:val="E3165AA0"/>
    <w:lvl w:ilvl="0">
      <w:start w:val="1"/>
      <w:numFmt w:val="lowerLetter"/>
      <w:lvlText w:val="%1)"/>
      <w:lvlJc w:val="left"/>
      <w:pPr>
        <w:ind w:left="1429" w:hanging="360"/>
      </w:pPr>
      <w:rPr>
        <w:sz w:val="24"/>
        <w:szCs w:val="24"/>
        <w:vertAlign w:val="baseline"/>
      </w:rPr>
    </w:lvl>
    <w:lvl w:ilvl="1">
      <w:start w:val="1"/>
      <w:numFmt w:val="decimal"/>
      <w:lvlText w:val="%2."/>
      <w:lvlJc w:val="left"/>
      <w:pPr>
        <w:ind w:left="1789" w:hanging="360"/>
      </w:pPr>
      <w:rPr>
        <w:sz w:val="24"/>
        <w:szCs w:val="24"/>
        <w:vertAlign w:val="baseline"/>
      </w:rPr>
    </w:lvl>
    <w:lvl w:ilvl="2">
      <w:start w:val="1"/>
      <w:numFmt w:val="decimal"/>
      <w:lvlText w:val="%3."/>
      <w:lvlJc w:val="left"/>
      <w:pPr>
        <w:ind w:left="2149" w:hanging="360"/>
      </w:pPr>
      <w:rPr>
        <w:sz w:val="24"/>
        <w:szCs w:val="24"/>
        <w:vertAlign w:val="baseline"/>
      </w:rPr>
    </w:lvl>
    <w:lvl w:ilvl="3">
      <w:start w:val="1"/>
      <w:numFmt w:val="decimal"/>
      <w:lvlText w:val="%4."/>
      <w:lvlJc w:val="left"/>
      <w:pPr>
        <w:ind w:left="2509" w:hanging="360"/>
      </w:pPr>
      <w:rPr>
        <w:sz w:val="24"/>
        <w:szCs w:val="24"/>
        <w:vertAlign w:val="baseline"/>
      </w:rPr>
    </w:lvl>
    <w:lvl w:ilvl="4">
      <w:start w:val="1"/>
      <w:numFmt w:val="decimal"/>
      <w:lvlText w:val="%5."/>
      <w:lvlJc w:val="left"/>
      <w:pPr>
        <w:ind w:left="2869" w:hanging="360"/>
      </w:pPr>
      <w:rPr>
        <w:sz w:val="24"/>
        <w:szCs w:val="24"/>
        <w:vertAlign w:val="baseline"/>
      </w:rPr>
    </w:lvl>
    <w:lvl w:ilvl="5">
      <w:start w:val="1"/>
      <w:numFmt w:val="decimal"/>
      <w:lvlText w:val="%6."/>
      <w:lvlJc w:val="left"/>
      <w:pPr>
        <w:ind w:left="3229" w:hanging="360"/>
      </w:pPr>
      <w:rPr>
        <w:sz w:val="24"/>
        <w:szCs w:val="24"/>
        <w:vertAlign w:val="baseline"/>
      </w:rPr>
    </w:lvl>
    <w:lvl w:ilvl="6">
      <w:start w:val="1"/>
      <w:numFmt w:val="decimal"/>
      <w:lvlText w:val="%7."/>
      <w:lvlJc w:val="left"/>
      <w:pPr>
        <w:ind w:left="3589" w:hanging="360"/>
      </w:pPr>
      <w:rPr>
        <w:sz w:val="24"/>
        <w:szCs w:val="24"/>
        <w:vertAlign w:val="baseline"/>
      </w:rPr>
    </w:lvl>
    <w:lvl w:ilvl="7">
      <w:start w:val="1"/>
      <w:numFmt w:val="decimal"/>
      <w:lvlText w:val="%8."/>
      <w:lvlJc w:val="left"/>
      <w:pPr>
        <w:ind w:left="3949" w:hanging="360"/>
      </w:pPr>
      <w:rPr>
        <w:sz w:val="24"/>
        <w:szCs w:val="24"/>
        <w:vertAlign w:val="baseline"/>
      </w:rPr>
    </w:lvl>
    <w:lvl w:ilvl="8">
      <w:start w:val="1"/>
      <w:numFmt w:val="decimal"/>
      <w:lvlText w:val="%9."/>
      <w:lvlJc w:val="left"/>
      <w:pPr>
        <w:ind w:left="4309" w:hanging="360"/>
      </w:pPr>
      <w:rPr>
        <w:sz w:val="24"/>
        <w:szCs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E4"/>
    <w:rsid w:val="009F52E4"/>
    <w:rsid w:val="00B825C5"/>
    <w:rsid w:val="00FB7A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ADCBC-D3A4-4C6F-A2D8-A41AEB4F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MX"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C"/>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LO-normal"/>
    <w:next w:val="Textoindependiente"/>
    <w:qFormat/>
    <w:rsid w:val="00BA010C"/>
    <w:pPr>
      <w:keepNext/>
      <w:keepLines/>
      <w:spacing w:before="480" w:after="120"/>
    </w:pPr>
    <w:rPr>
      <w:b/>
      <w:sz w:val="72"/>
      <w:szCs w:val="72"/>
    </w:rPr>
  </w:style>
  <w:style w:type="paragraph" w:customStyle="1" w:styleId="Ttulo11">
    <w:name w:val="Título 11"/>
    <w:basedOn w:val="LO-normal"/>
    <w:next w:val="LO-normal"/>
    <w:qFormat/>
    <w:rsid w:val="00BA010C"/>
    <w:pPr>
      <w:keepNext/>
      <w:keepLines/>
      <w:spacing w:before="480" w:after="120"/>
    </w:pPr>
    <w:rPr>
      <w:b/>
      <w:sz w:val="48"/>
      <w:szCs w:val="48"/>
    </w:rPr>
  </w:style>
  <w:style w:type="paragraph" w:customStyle="1" w:styleId="Ttulo21">
    <w:name w:val="Título 21"/>
    <w:basedOn w:val="LO-normal"/>
    <w:next w:val="LO-normal"/>
    <w:qFormat/>
    <w:rsid w:val="00BA010C"/>
    <w:pPr>
      <w:keepNext/>
      <w:keepLines/>
      <w:spacing w:before="360" w:after="80"/>
    </w:pPr>
    <w:rPr>
      <w:b/>
      <w:sz w:val="36"/>
      <w:szCs w:val="36"/>
    </w:rPr>
  </w:style>
  <w:style w:type="paragraph" w:customStyle="1" w:styleId="Ttulo31">
    <w:name w:val="Título 31"/>
    <w:basedOn w:val="LO-normal"/>
    <w:next w:val="LO-normal"/>
    <w:qFormat/>
    <w:rsid w:val="00BA010C"/>
    <w:pPr>
      <w:keepNext/>
      <w:keepLines/>
      <w:spacing w:before="280" w:after="80"/>
    </w:pPr>
    <w:rPr>
      <w:b/>
      <w:sz w:val="28"/>
      <w:szCs w:val="28"/>
    </w:rPr>
  </w:style>
  <w:style w:type="paragraph" w:customStyle="1" w:styleId="Ttulo41">
    <w:name w:val="Título 41"/>
    <w:basedOn w:val="LO-normal"/>
    <w:next w:val="LO-normal"/>
    <w:qFormat/>
    <w:rsid w:val="00BA010C"/>
    <w:pPr>
      <w:keepNext/>
      <w:keepLines/>
      <w:spacing w:before="240" w:after="40"/>
    </w:pPr>
    <w:rPr>
      <w:b/>
    </w:rPr>
  </w:style>
  <w:style w:type="paragraph" w:customStyle="1" w:styleId="Ttulo51">
    <w:name w:val="Título 51"/>
    <w:basedOn w:val="LO-normal"/>
    <w:next w:val="LO-normal"/>
    <w:qFormat/>
    <w:rsid w:val="00BA010C"/>
    <w:pPr>
      <w:keepNext/>
      <w:keepLines/>
      <w:spacing w:before="220" w:after="40"/>
    </w:pPr>
    <w:rPr>
      <w:b/>
      <w:sz w:val="22"/>
      <w:szCs w:val="22"/>
    </w:rPr>
  </w:style>
  <w:style w:type="paragraph" w:customStyle="1" w:styleId="Ttulo61">
    <w:name w:val="Título 61"/>
    <w:basedOn w:val="LO-normal"/>
    <w:next w:val="LO-normal"/>
    <w:qFormat/>
    <w:rsid w:val="00BA010C"/>
    <w:pPr>
      <w:keepNext/>
      <w:keepLines/>
      <w:spacing w:before="200" w:after="40"/>
    </w:pPr>
    <w:rPr>
      <w:b/>
      <w:sz w:val="20"/>
      <w:szCs w:val="20"/>
    </w:rPr>
  </w:style>
  <w:style w:type="paragraph" w:styleId="Textoindependiente">
    <w:name w:val="Body Text"/>
    <w:basedOn w:val="Normal"/>
    <w:rsid w:val="00BA010C"/>
    <w:pPr>
      <w:spacing w:after="140" w:line="276" w:lineRule="auto"/>
    </w:pPr>
  </w:style>
  <w:style w:type="paragraph" w:styleId="Lista">
    <w:name w:val="List"/>
    <w:basedOn w:val="Textoindependiente"/>
    <w:rsid w:val="00BA010C"/>
    <w:rPr>
      <w:rFonts w:cs="Lohit Devanagari"/>
    </w:rPr>
  </w:style>
  <w:style w:type="paragraph" w:customStyle="1" w:styleId="Descripcin1">
    <w:name w:val="Descripción1"/>
    <w:basedOn w:val="Normal"/>
    <w:qFormat/>
    <w:rsid w:val="00BA010C"/>
    <w:pPr>
      <w:suppressLineNumbers/>
      <w:spacing w:before="120" w:after="120"/>
    </w:pPr>
    <w:rPr>
      <w:rFonts w:cs="Lohit Devanagari"/>
      <w:i/>
      <w:iCs/>
    </w:rPr>
  </w:style>
  <w:style w:type="paragraph" w:customStyle="1" w:styleId="ndice">
    <w:name w:val="Índice"/>
    <w:basedOn w:val="Normal"/>
    <w:qFormat/>
    <w:rsid w:val="00BA010C"/>
    <w:pPr>
      <w:suppressLineNumbers/>
    </w:pPr>
    <w:rPr>
      <w:rFonts w:cs="Lohit Devanagari"/>
    </w:rPr>
  </w:style>
  <w:style w:type="paragraph" w:customStyle="1" w:styleId="LO-normal">
    <w:name w:val="LO-normal"/>
    <w:qFormat/>
    <w:rsid w:val="00BA010C"/>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BA010C"/>
  </w:style>
  <w:style w:type="paragraph" w:customStyle="1" w:styleId="Encabezado1">
    <w:name w:val="Encabezado1"/>
    <w:basedOn w:val="Cabeceraypie"/>
    <w:rsid w:val="00BA010C"/>
  </w:style>
  <w:style w:type="paragraph" w:customStyle="1" w:styleId="Piedepgina1">
    <w:name w:val="Pie de página1"/>
    <w:basedOn w:val="Cabeceraypie"/>
    <w:rsid w:val="00BA010C"/>
  </w:style>
  <w:style w:type="table" w:customStyle="1" w:styleId="TableNormal0">
    <w:name w:val="Table Normal"/>
    <w:rsid w:val="00BA010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ChGVUgDaSnZ8nVmMTpN82o3Q==">AMUW2mUttxaMRs7QL4Hu8MIXOkbWgkJ5K1apUM8l4PI1NWEyAK1DvKFrX2MkUz+SniraBI+hoSwL8w2XDXP2Zndlaza1m11SVYToa/2oNN2Wqd/9ezNMAHQ=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lolo</cp:lastModifiedBy>
  <cp:revision>2</cp:revision>
  <dcterms:created xsi:type="dcterms:W3CDTF">2021-02-04T18:16:00Z</dcterms:created>
  <dcterms:modified xsi:type="dcterms:W3CDTF">2021-02-04T18:16:00Z</dcterms:modified>
</cp:coreProperties>
</file>